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2A24F2" w14:textId="77777777" w:rsidR="007F6334" w:rsidRDefault="004B7C19">
      <w:pPr>
        <w:pStyle w:val="Heading1"/>
      </w:pPr>
      <w:r>
        <w:t>Partial symmetry in modular structures</w:t>
      </w:r>
    </w:p>
    <w:p w14:paraId="1BD83EA5" w14:textId="77777777" w:rsidR="007F6334" w:rsidRDefault="004B7C19">
      <w:pPr>
        <w:pStyle w:val="Heading2"/>
      </w:pPr>
      <w:r>
        <w:t>B. Stöger</w:t>
      </w:r>
      <w:r>
        <w:rPr>
          <w:vertAlign w:val="superscript"/>
        </w:rPr>
        <w:t>1</w:t>
      </w:r>
    </w:p>
    <w:p w14:paraId="51E7F49D" w14:textId="77777777" w:rsidR="007F6334" w:rsidRDefault="004B7C19">
      <w:pPr>
        <w:pStyle w:val="Heading3"/>
      </w:pPr>
      <w:r>
        <w:rPr>
          <w:vertAlign w:val="superscript"/>
        </w:rPr>
        <w:t>1</w:t>
      </w:r>
      <w:r>
        <w:t xml:space="preserve">X-ray </w:t>
      </w:r>
      <w:proofErr w:type="spellStart"/>
      <w:r>
        <w:t>center</w:t>
      </w:r>
      <w:proofErr w:type="spellEnd"/>
      <w:r>
        <w:t xml:space="preserve"> TU Wien, </w:t>
      </w:r>
      <w:proofErr w:type="spellStart"/>
      <w:r>
        <w:t>Getreidemarkt</w:t>
      </w:r>
      <w:proofErr w:type="spellEnd"/>
      <w:r>
        <w:t xml:space="preserve"> 9, 1060 Wien, Austria</w:t>
      </w:r>
    </w:p>
    <w:p w14:paraId="4AA01F79" w14:textId="77777777" w:rsidR="007F6334" w:rsidRDefault="004B7C19">
      <w:pPr>
        <w:pStyle w:val="Heading3"/>
        <w:rPr>
          <w:sz w:val="18"/>
          <w:szCs w:val="18"/>
        </w:rPr>
      </w:pPr>
      <w:r>
        <w:t>bstoeger@mail.tuwien.ac.at</w:t>
      </w:r>
      <w:r>
        <w:rPr>
          <w:lang w:eastAsia="de-DE"/>
        </w:rPr>
        <w:br/>
      </w:r>
    </w:p>
    <w:p w14:paraId="7BE44922" w14:textId="77FDA0CC" w:rsidR="007F6334" w:rsidRDefault="004B7C19">
      <w:r>
        <w:t xml:space="preserve">Crystalline materials are often understood as being </w:t>
      </w:r>
      <w:r>
        <w:rPr>
          <w:i/>
          <w:iCs/>
        </w:rPr>
        <w:t>three-dimensionally periodic</w:t>
      </w:r>
      <w:r>
        <w:t xml:space="preserve"> (or quasi-periodic) arran</w:t>
      </w:r>
      <w:r>
        <w:t xml:space="preserve">gements of atoms. According to an alternative, phenomenological, definition crystals feature an </w:t>
      </w:r>
      <w:r>
        <w:rPr>
          <w:i/>
          <w:iCs/>
        </w:rPr>
        <w:t>essentially discrete</w:t>
      </w:r>
      <w:r>
        <w:t xml:space="preserve"> diffraction pattern. However, in the early days of structural analysis, diffraction patterns were recorded that featured discrete (indicating order) </w:t>
      </w:r>
      <w:r>
        <w:rPr>
          <w:i/>
          <w:iCs/>
        </w:rPr>
        <w:t>and</w:t>
      </w:r>
      <w:r>
        <w:t xml:space="preserve"> diffuse (indicating disorder) regions (Fig. 1). To explain this phenomenon,</w:t>
      </w:r>
      <w:r>
        <w:rPr>
          <w:rStyle w:val="Heading6Char"/>
          <w:lang w:val="en-GB"/>
        </w:rPr>
        <w:t xml:space="preserve"> the order-disorder (OD) theory was develop</w:t>
      </w:r>
      <w:r>
        <w:rPr>
          <w:rStyle w:val="Heading6Char"/>
          <w:lang w:val="en-GB"/>
        </w:rPr>
        <w:t xml:space="preserve">ed in the 1950s [1]. OD structures are built according to strict geometrical </w:t>
      </w:r>
      <w:proofErr w:type="gramStart"/>
      <w:r>
        <w:rPr>
          <w:rStyle w:val="Heading6Char"/>
          <w:lang w:val="en-GB"/>
        </w:rPr>
        <w:t>rules, yet</w:t>
      </w:r>
      <w:proofErr w:type="gramEnd"/>
      <w:r>
        <w:rPr>
          <w:rStyle w:val="Heading6Char"/>
          <w:lang w:val="en-GB"/>
        </w:rPr>
        <w:t xml:space="preserve"> are not necessarily periodic and are ubiquitous across all classes of materials. They comprise of modules (layers or rods), such that pairs of adjacent modules are always equivalent. In proper OD structures, there are an infinity of possible arrangements that are locally equivalent. Thus, the OD theory is a generalization of crystallinity taking into consideration the “short-sightedness” of matter (i.e. the short range o</w:t>
      </w:r>
      <w:r>
        <w:rPr>
          <w:rStyle w:val="Heading6Char"/>
          <w:lang w:val="en-GB"/>
        </w:rPr>
        <w:t xml:space="preserve">f interatomic interactions). The symmetry of OD structures is given by a </w:t>
      </w:r>
      <w:r>
        <w:rPr>
          <w:rStyle w:val="Heading6Char"/>
          <w:i/>
          <w:iCs/>
          <w:lang w:val="en-GB"/>
        </w:rPr>
        <w:t>space groupoid</w:t>
      </w:r>
      <w:r>
        <w:rPr>
          <w:rStyle w:val="Heading6Char"/>
          <w:lang w:val="en-GB"/>
        </w:rPr>
        <w:t xml:space="preserve"> of </w:t>
      </w:r>
      <w:r>
        <w:rPr>
          <w:rStyle w:val="Heading6Char"/>
          <w:i/>
          <w:iCs/>
          <w:lang w:val="en-GB"/>
        </w:rPr>
        <w:t>partial isometries</w:t>
      </w:r>
      <w:r>
        <w:rPr>
          <w:rStyle w:val="Heading6Char"/>
          <w:lang w:val="en-GB"/>
        </w:rPr>
        <w:t xml:space="preserve"> [2]. Examples of OD structures and more general cases of locally equivalent modular structures are discussed. </w:t>
      </w:r>
      <w:proofErr w:type="gramStart"/>
      <w:r>
        <w:rPr>
          <w:rStyle w:val="Heading6Char"/>
          <w:lang w:val="en-GB"/>
        </w:rPr>
        <w:t>In particular, it</w:t>
      </w:r>
      <w:proofErr w:type="gramEnd"/>
      <w:r>
        <w:rPr>
          <w:rStyle w:val="Heading6Char"/>
          <w:lang w:val="en-GB"/>
        </w:rPr>
        <w:t xml:space="preserve"> is shown how such modular structures may lead to </w:t>
      </w:r>
      <w:proofErr w:type="spellStart"/>
      <w:r>
        <w:rPr>
          <w:rStyle w:val="Heading6Char"/>
          <w:lang w:val="en-GB"/>
        </w:rPr>
        <w:t>homometry</w:t>
      </w:r>
      <w:proofErr w:type="spellEnd"/>
      <w:r>
        <w:rPr>
          <w:rStyle w:val="Heading6Char"/>
          <w:lang w:val="en-GB"/>
        </w:rPr>
        <w:t xml:space="preserve"> (distinct structures resulting in the same diffraction pattern [3]) even for simple and realistic growth models (Fig. 2). In contrast, </w:t>
      </w:r>
      <w:proofErr w:type="spellStart"/>
      <w:r>
        <w:rPr>
          <w:rStyle w:val="Heading6Char"/>
          <w:lang w:val="en-GB"/>
        </w:rPr>
        <w:t>homometry</w:t>
      </w:r>
      <w:proofErr w:type="spellEnd"/>
      <w:r>
        <w:rPr>
          <w:rStyle w:val="Heading6Char"/>
          <w:lang w:val="en-GB"/>
        </w:rPr>
        <w:t xml:space="preserve"> is exceedingly rare in periodic structures.</w:t>
      </w:r>
    </w:p>
    <w:p w14:paraId="7FD697EE" w14:textId="77777777" w:rsidR="007F6334" w:rsidRDefault="004B7C19">
      <w:pPr>
        <w:pStyle w:val="Heading6"/>
        <w:rPr>
          <w:b/>
        </w:rPr>
      </w:pPr>
      <w:r>
        <w:rPr>
          <w:b/>
          <w:noProof/>
        </w:rPr>
        <w:drawing>
          <wp:anchor distT="0" distB="0" distL="0" distR="0" simplePos="0" relativeHeight="4" behindDoc="0" locked="0" layoutInCell="0" allowOverlap="1" wp14:anchorId="60F885BA" wp14:editId="392F180D">
            <wp:simplePos x="0" y="0"/>
            <wp:positionH relativeFrom="column">
              <wp:posOffset>2075815</wp:posOffset>
            </wp:positionH>
            <wp:positionV relativeFrom="paragraph">
              <wp:posOffset>635</wp:posOffset>
            </wp:positionV>
            <wp:extent cx="2409825" cy="1826260"/>
            <wp:effectExtent l="0" t="0" r="0" b="0"/>
            <wp:wrapTopAndBottom/>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7"/>
                    <a:stretch>
                      <a:fillRect/>
                    </a:stretch>
                  </pic:blipFill>
                  <pic:spPr bwMode="auto">
                    <a:xfrm>
                      <a:off x="0" y="0"/>
                      <a:ext cx="2409825" cy="1826260"/>
                    </a:xfrm>
                    <a:prstGeom prst="rect">
                      <a:avLst/>
                    </a:prstGeom>
                    <a:noFill/>
                  </pic:spPr>
                </pic:pic>
              </a:graphicData>
            </a:graphic>
          </wp:anchor>
        </w:drawing>
      </w:r>
    </w:p>
    <w:p w14:paraId="668F8BF5" w14:textId="77777777" w:rsidR="007F6334" w:rsidRDefault="004B7C19">
      <w:pPr>
        <w:pStyle w:val="Heading6"/>
      </w:pPr>
      <w:r>
        <w:rPr>
          <w:b/>
        </w:rPr>
        <w:t>Figure 1</w:t>
      </w:r>
      <w:r>
        <w:t xml:space="preserve">. </w:t>
      </w:r>
      <w:r>
        <w:rPr>
          <w:bCs w:val="0"/>
          <w:i/>
          <w:iCs/>
        </w:rPr>
        <w:t>h</w:t>
      </w:r>
      <w:r>
        <w:t xml:space="preserve"> = 1 plane of reciprocal space of a MgTeO</w:t>
      </w:r>
      <w:r>
        <w:rPr>
          <w:vertAlign w:val="subscript"/>
        </w:rPr>
        <w:t>8</w:t>
      </w:r>
      <w:r>
        <w:t>H</w:t>
      </w:r>
      <w:r>
        <w:rPr>
          <w:vertAlign w:val="subscript"/>
        </w:rPr>
        <w:t>8</w:t>
      </w:r>
      <w:r>
        <w:t>, showing discrete (“ordered”) and diffuse (“disordered”) parts.</w:t>
      </w:r>
    </w:p>
    <w:p w14:paraId="2BF911A5" w14:textId="77777777" w:rsidR="007F6334" w:rsidRDefault="007F6334"/>
    <w:p w14:paraId="0D26A00A" w14:textId="77777777" w:rsidR="007F6334" w:rsidRDefault="004B7C19">
      <w:pPr>
        <w:rPr>
          <w:lang w:eastAsia="cs-CZ"/>
        </w:rPr>
      </w:pPr>
      <w:r>
        <w:rPr>
          <w:b/>
          <w:noProof/>
          <w:lang w:eastAsia="cs-CZ"/>
        </w:rPr>
        <w:drawing>
          <wp:anchor distT="0" distB="0" distL="0" distR="0" simplePos="0" relativeHeight="3" behindDoc="0" locked="0" layoutInCell="0" allowOverlap="1" wp14:anchorId="5EBA6F48" wp14:editId="314BFEB7">
            <wp:simplePos x="0" y="0"/>
            <wp:positionH relativeFrom="column">
              <wp:posOffset>4006215</wp:posOffset>
            </wp:positionH>
            <wp:positionV relativeFrom="paragraph">
              <wp:posOffset>-74295</wp:posOffset>
            </wp:positionV>
            <wp:extent cx="1479550" cy="1419225"/>
            <wp:effectExtent l="0" t="0" r="0" b="0"/>
            <wp:wrapTopAndBottom/>
            <wp:docPr id="2"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4"/>
                    <pic:cNvPicPr>
                      <a:picLocks noChangeAspect="1" noChangeArrowheads="1"/>
                    </pic:cNvPicPr>
                  </pic:nvPicPr>
                  <pic:blipFill>
                    <a:blip r:embed="rId8"/>
                    <a:stretch>
                      <a:fillRect/>
                    </a:stretch>
                  </pic:blipFill>
                  <pic:spPr bwMode="auto">
                    <a:xfrm>
                      <a:off x="0" y="0"/>
                      <a:ext cx="1479550" cy="1419225"/>
                    </a:xfrm>
                    <a:prstGeom prst="rect">
                      <a:avLst/>
                    </a:prstGeom>
                    <a:noFill/>
                  </pic:spPr>
                </pic:pic>
              </a:graphicData>
            </a:graphic>
          </wp:anchor>
        </w:drawing>
      </w:r>
      <w:r>
        <w:rPr>
          <w:b/>
          <w:lang w:eastAsia="cs-CZ"/>
        </w:rPr>
        <w:t>Figure 2</w:t>
      </w:r>
      <w:r>
        <w:rPr>
          <w:lang w:eastAsia="cs-CZ"/>
        </w:rPr>
        <w:t>. Left: T</w:t>
      </w:r>
      <w:r>
        <w:rPr>
          <w:noProof/>
        </w:rPr>
        <w:drawing>
          <wp:anchor distT="0" distB="0" distL="0" distR="0" simplePos="0" relativeHeight="2" behindDoc="0" locked="0" layoutInCell="0" allowOverlap="1" wp14:anchorId="4B7778FD" wp14:editId="416958D4">
            <wp:simplePos x="0" y="0"/>
            <wp:positionH relativeFrom="column">
              <wp:posOffset>998855</wp:posOffset>
            </wp:positionH>
            <wp:positionV relativeFrom="paragraph">
              <wp:posOffset>-13970</wp:posOffset>
            </wp:positionV>
            <wp:extent cx="2671445" cy="1247775"/>
            <wp:effectExtent l="0" t="0" r="0" b="0"/>
            <wp:wrapTopAndBottom/>
            <wp:docPr id="3"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pic:cNvPicPr>
                      <a:picLocks noChangeAspect="1" noChangeArrowheads="1"/>
                    </pic:cNvPicPr>
                  </pic:nvPicPr>
                  <pic:blipFill>
                    <a:blip r:embed="rId9"/>
                    <a:stretch>
                      <a:fillRect/>
                    </a:stretch>
                  </pic:blipFill>
                  <pic:spPr bwMode="auto">
                    <a:xfrm>
                      <a:off x="0" y="0"/>
                      <a:ext cx="2671445" cy="1247775"/>
                    </a:xfrm>
                    <a:prstGeom prst="rect">
                      <a:avLst/>
                    </a:prstGeom>
                    <a:noFill/>
                  </pic:spPr>
                </pic:pic>
              </a:graphicData>
            </a:graphic>
          </wp:anchor>
        </w:drawing>
      </w:r>
      <w:r>
        <w:rPr>
          <w:lang w:eastAsia="cs-CZ"/>
        </w:rPr>
        <w:t>wo-</w:t>
      </w:r>
      <w:proofErr w:type="spellStart"/>
      <w:r>
        <w:rPr>
          <w:lang w:eastAsia="cs-CZ"/>
        </w:rPr>
        <w:t>neighbor</w:t>
      </w:r>
      <w:proofErr w:type="spellEnd"/>
      <w:r>
        <w:rPr>
          <w:lang w:eastAsia="cs-CZ"/>
        </w:rPr>
        <w:t xml:space="preserve"> growth model with transition probabilities </w:t>
      </w:r>
      <w:r>
        <w:rPr>
          <w:i/>
          <w:iCs/>
          <w:lang w:eastAsia="cs-CZ"/>
        </w:rPr>
        <w:t>A</w:t>
      </w:r>
      <w:r>
        <w:rPr>
          <w:lang w:eastAsia="cs-CZ"/>
        </w:rPr>
        <w:t xml:space="preserve"> and </w:t>
      </w:r>
      <w:r>
        <w:rPr>
          <w:i/>
          <w:iCs/>
          <w:lang w:eastAsia="cs-CZ"/>
        </w:rPr>
        <w:t>B</w:t>
      </w:r>
      <w:r>
        <w:rPr>
          <w:lang w:eastAsia="cs-CZ"/>
        </w:rPr>
        <w:t xml:space="preserve"> (</w:t>
      </w:r>
      <w:r>
        <w:rPr>
          <w:i/>
          <w:iCs/>
          <w:lang w:eastAsia="cs-CZ"/>
        </w:rPr>
        <w:t>L</w:t>
      </w:r>
      <w:r>
        <w:rPr>
          <w:lang w:eastAsia="cs-CZ"/>
        </w:rPr>
        <w:t xml:space="preserve"> and </w:t>
      </w:r>
      <w:proofErr w:type="spellStart"/>
      <w:r>
        <w:rPr>
          <w:i/>
          <w:iCs/>
          <w:lang w:eastAsia="cs-CZ"/>
        </w:rPr>
        <w:t>R</w:t>
      </w:r>
      <w:r>
        <w:rPr>
          <w:lang w:eastAsia="cs-CZ"/>
        </w:rPr>
        <w:t xml:space="preserve"> are</w:t>
      </w:r>
      <w:proofErr w:type="spellEnd"/>
      <w:r>
        <w:rPr>
          <w:lang w:eastAsia="cs-CZ"/>
        </w:rPr>
        <w:t xml:space="preserve"> translations with +¼</w:t>
      </w:r>
      <w:r>
        <w:rPr>
          <w:b/>
          <w:bCs/>
          <w:lang w:eastAsia="cs-CZ"/>
        </w:rPr>
        <w:t>a</w:t>
      </w:r>
      <w:r>
        <w:rPr>
          <w:lang w:eastAsia="cs-CZ"/>
        </w:rPr>
        <w:t xml:space="preserve"> and −¼</w:t>
      </w:r>
      <w:r>
        <w:rPr>
          <w:b/>
          <w:bCs/>
          <w:lang w:eastAsia="cs-CZ"/>
        </w:rPr>
        <w:t>a</w:t>
      </w:r>
      <w:r>
        <w:rPr>
          <w:lang w:eastAsia="cs-CZ"/>
        </w:rPr>
        <w:t xml:space="preserve"> components, respectively)</w:t>
      </w:r>
      <w:r>
        <w:rPr>
          <w:lang w:eastAsia="cs-CZ"/>
        </w:rPr>
        <w:t xml:space="preserve">. Right: </w:t>
      </w:r>
      <w:proofErr w:type="spellStart"/>
      <w:r>
        <w:rPr>
          <w:lang w:eastAsia="cs-CZ"/>
        </w:rPr>
        <w:t>Homometric</w:t>
      </w:r>
      <w:proofErr w:type="spellEnd"/>
      <w:r>
        <w:rPr>
          <w:lang w:eastAsia="cs-CZ"/>
        </w:rPr>
        <w:t xml:space="preserve"> pairs (</w:t>
      </w:r>
      <w:r>
        <w:rPr>
          <w:i/>
          <w:iCs/>
          <w:lang w:eastAsia="cs-CZ"/>
        </w:rPr>
        <w:t>A</w:t>
      </w:r>
      <w:r>
        <w:rPr>
          <w:lang w:eastAsia="cs-CZ"/>
        </w:rPr>
        <w:t xml:space="preserve">, </w:t>
      </w:r>
      <w:r>
        <w:rPr>
          <w:i/>
          <w:iCs/>
          <w:lang w:eastAsia="cs-CZ"/>
        </w:rPr>
        <w:t>B</w:t>
      </w:r>
      <w:r>
        <w:rPr>
          <w:lang w:eastAsia="cs-CZ"/>
        </w:rPr>
        <w:t xml:space="preserve">) connected by black line segments. The blue line represents </w:t>
      </w:r>
      <w:r>
        <w:rPr>
          <w:lang w:eastAsia="cs-CZ"/>
        </w:rPr>
        <w:t>parameters degenerating to a single-</w:t>
      </w:r>
      <w:proofErr w:type="spellStart"/>
      <w:r>
        <w:rPr>
          <w:lang w:eastAsia="cs-CZ"/>
        </w:rPr>
        <w:t>neighbor</w:t>
      </w:r>
      <w:proofErr w:type="spellEnd"/>
      <w:r>
        <w:rPr>
          <w:lang w:eastAsia="cs-CZ"/>
        </w:rPr>
        <w:t xml:space="preserve"> model.</w:t>
      </w:r>
    </w:p>
    <w:p w14:paraId="1DD662D9" w14:textId="77777777" w:rsidR="007F6334" w:rsidRDefault="004B7C19">
      <w:pPr>
        <w:pStyle w:val="Heading4"/>
      </w:pPr>
      <w:r>
        <w:t xml:space="preserve">[1] Dornberger-Schiff, K. &amp; Grell-Niemann, H. (1961). </w:t>
      </w:r>
      <w:r>
        <w:rPr>
          <w:i/>
          <w:iCs/>
        </w:rPr>
        <w:t xml:space="preserve">Acta </w:t>
      </w:r>
      <w:proofErr w:type="spellStart"/>
      <w:r>
        <w:rPr>
          <w:i/>
          <w:iCs/>
        </w:rPr>
        <w:t>Cryst</w:t>
      </w:r>
      <w:proofErr w:type="spellEnd"/>
      <w:r>
        <w:rPr>
          <w:i/>
          <w:iCs/>
        </w:rPr>
        <w:t>.</w:t>
      </w:r>
      <w:r>
        <w:t xml:space="preserve"> </w:t>
      </w:r>
      <w:r>
        <w:rPr>
          <w:b/>
        </w:rPr>
        <w:t>14</w:t>
      </w:r>
      <w:r>
        <w:t>, 167–177.</w:t>
      </w:r>
    </w:p>
    <w:p w14:paraId="449ACFAF" w14:textId="77777777" w:rsidR="007F6334" w:rsidRDefault="004B7C19">
      <w:pPr>
        <w:pStyle w:val="Heading4"/>
      </w:pPr>
      <w:r>
        <w:t xml:space="preserve">[2] Fichtner, K. (1977). </w:t>
      </w:r>
      <w:proofErr w:type="spellStart"/>
      <w:r>
        <w:rPr>
          <w:i/>
          <w:iCs/>
        </w:rPr>
        <w:t>Beitr</w:t>
      </w:r>
      <w:proofErr w:type="spellEnd"/>
      <w:r>
        <w:rPr>
          <w:i/>
          <w:iCs/>
        </w:rPr>
        <w:t xml:space="preserve">. z. Algebra u. </w:t>
      </w:r>
      <w:proofErr w:type="spellStart"/>
      <w:r>
        <w:rPr>
          <w:i/>
          <w:iCs/>
        </w:rPr>
        <w:t>Geometrie</w:t>
      </w:r>
      <w:proofErr w:type="spellEnd"/>
      <w:r>
        <w:t xml:space="preserve">, </w:t>
      </w:r>
      <w:r>
        <w:rPr>
          <w:b/>
        </w:rPr>
        <w:t>6</w:t>
      </w:r>
      <w:r>
        <w:t>, 71–99.</w:t>
      </w:r>
    </w:p>
    <w:p w14:paraId="021E56E7" w14:textId="77777777" w:rsidR="007F6334" w:rsidRDefault="004B7C19">
      <w:pPr>
        <w:pStyle w:val="Heading4"/>
      </w:pPr>
      <w:r>
        <w:t xml:space="preserve">[3] </w:t>
      </w:r>
      <w:proofErr w:type="spellStart"/>
      <w:r>
        <w:t>Zobetz</w:t>
      </w:r>
      <w:proofErr w:type="spellEnd"/>
      <w:r>
        <w:t xml:space="preserve">, E. (1994). </w:t>
      </w:r>
      <w:proofErr w:type="spellStart"/>
      <w:r>
        <w:rPr>
          <w:i/>
        </w:rPr>
        <w:t>Cryst</w:t>
      </w:r>
      <w:proofErr w:type="spellEnd"/>
      <w:r>
        <w:rPr>
          <w:i/>
        </w:rPr>
        <w:t>. Res. Technol</w:t>
      </w:r>
      <w:r>
        <w:t xml:space="preserve">, </w:t>
      </w:r>
      <w:r>
        <w:rPr>
          <w:b/>
        </w:rPr>
        <w:t>29</w:t>
      </w:r>
      <w:r>
        <w:t>, 379.</w:t>
      </w:r>
    </w:p>
    <w:sectPr w:rsidR="007F6334">
      <w:headerReference w:type="even" r:id="rId10"/>
      <w:headerReference w:type="default" r:id="rId11"/>
      <w:footerReference w:type="even" r:id="rId12"/>
      <w:footerReference w:type="default" r:id="rId13"/>
      <w:headerReference w:type="first" r:id="rId14"/>
      <w:footerReference w:type="first" r:id="rId15"/>
      <w:pgSz w:w="12240" w:h="15840"/>
      <w:pgMar w:top="765" w:right="720" w:bottom="765" w:left="720" w:header="708" w:footer="708" w:gutter="0"/>
      <w:cols w:space="720"/>
      <w:formProt w:val="0"/>
      <w:docGrid w:linePitch="272" w:charSpace="163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5013D" w14:textId="77777777" w:rsidR="004B7C19" w:rsidRDefault="004B7C19">
      <w:pPr>
        <w:spacing w:after="0"/>
      </w:pPr>
      <w:r>
        <w:separator/>
      </w:r>
    </w:p>
  </w:endnote>
  <w:endnote w:type="continuationSeparator" w:id="0">
    <w:p w14:paraId="5C712DAA" w14:textId="77777777" w:rsidR="004B7C19" w:rsidRDefault="004B7C1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Noto Sans Devanagar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2CA7A" w14:textId="77777777" w:rsidR="007F6334" w:rsidRDefault="007F63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E67DE" w14:textId="77777777" w:rsidR="007F6334" w:rsidRDefault="007F6334">
    <w:pPr>
      <w:tabs>
        <w:tab w:val="center" w:pos="4703"/>
        <w:tab w:val="right" w:pos="940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08962" w14:textId="77777777" w:rsidR="007F6334" w:rsidRDefault="007F6334">
    <w:pPr>
      <w:tabs>
        <w:tab w:val="center" w:pos="4703"/>
        <w:tab w:val="right" w:pos="940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D034E3" w14:textId="77777777" w:rsidR="004B7C19" w:rsidRDefault="004B7C19">
      <w:pPr>
        <w:spacing w:after="0"/>
      </w:pPr>
      <w:r>
        <w:separator/>
      </w:r>
    </w:p>
  </w:footnote>
  <w:footnote w:type="continuationSeparator" w:id="0">
    <w:p w14:paraId="40C1B285" w14:textId="77777777" w:rsidR="004B7C19" w:rsidRDefault="004B7C1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248C2" w14:textId="77777777" w:rsidR="007F6334" w:rsidRDefault="007F63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BCF74" w14:textId="77777777" w:rsidR="007F6334" w:rsidRDefault="004B7C19">
    <w:pPr>
      <w:tabs>
        <w:tab w:val="center" w:pos="4703"/>
        <w:tab w:val="right" w:pos="9406"/>
      </w:tabs>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45849" w14:textId="77777777" w:rsidR="007F6334" w:rsidRDefault="004B7C19">
    <w:pPr>
      <w:tabs>
        <w:tab w:val="center" w:pos="4703"/>
        <w:tab w:val="right" w:pos="9406"/>
      </w:tabs>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334"/>
    <w:rsid w:val="004B7C19"/>
    <w:rsid w:val="007F6334"/>
    <w:rsid w:val="00C27A10"/>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B5297"/>
  <w15:docId w15:val="{C7F29A91-D213-4F1B-A367-7B4417BAF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pPr>
        <w:suppressAutoHyphens/>
      </w:pPr>
    </w:pPrDefault>
  </w:docDefaults>
  <w:latentStyles w:defLockedState="0" w:defUIPriority="99" w:defSemiHidden="0" w:defUnhideWhenUsed="0" w:defQFormat="0" w:count="376">
    <w:lsdException w:name="Normal" w:uiPriority="0"/>
    <w:lsdException w:name="heading 5" w:semiHidden="1" w:uiPriority="9" w:unhideWhenUsed="1"/>
    <w:lsdException w:name="heading 6" w:semiHidden="1" w:uiPriority="9"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275"/>
    <w:pPr>
      <w:spacing w:after="120"/>
      <w:jc w:val="both"/>
    </w:pPr>
    <w:rPr>
      <w:lang w:eastAsia="de-DE"/>
    </w:rPr>
  </w:style>
  <w:style w:type="paragraph" w:styleId="Heading1">
    <w:name w:val="heading 1"/>
    <w:basedOn w:val="Normal"/>
    <w:next w:val="Heading2"/>
    <w:link w:val="Heading1Char"/>
    <w:uiPriority w:val="99"/>
    <w:qFormat/>
    <w:rsid w:val="00925275"/>
    <w:pPr>
      <w:keepNext/>
      <w:spacing w:before="240" w:after="60"/>
      <w:jc w:val="center"/>
      <w:outlineLvl w:val="0"/>
    </w:pPr>
    <w:rPr>
      <w:rFonts w:ascii="Arial" w:hAnsi="Arial" w:cs="Arial"/>
      <w:b/>
      <w:bCs/>
      <w:kern w:val="2"/>
      <w:sz w:val="24"/>
      <w:szCs w:val="32"/>
    </w:rPr>
  </w:style>
  <w:style w:type="paragraph" w:styleId="Heading2">
    <w:name w:val="heading 2"/>
    <w:basedOn w:val="Normal"/>
    <w:next w:val="Heading3"/>
    <w:link w:val="Heading2Char"/>
    <w:uiPriority w:val="99"/>
    <w:qFormat/>
    <w:rsid w:val="00925275"/>
    <w:pPr>
      <w:keepNext/>
      <w:spacing w:before="240" w:after="240"/>
      <w:jc w:val="center"/>
      <w:outlineLvl w:val="1"/>
    </w:pPr>
    <w:rPr>
      <w:rFonts w:ascii="Arial" w:hAnsi="Arial" w:cs="Arial"/>
      <w:b/>
      <w:bCs/>
      <w:iCs/>
      <w:szCs w:val="28"/>
    </w:rPr>
  </w:style>
  <w:style w:type="paragraph" w:styleId="Heading3">
    <w:name w:val="heading 3"/>
    <w:basedOn w:val="Normal"/>
    <w:next w:val="Normal"/>
    <w:link w:val="Heading3Char"/>
    <w:uiPriority w:val="99"/>
    <w:qFormat/>
    <w:rsid w:val="002E03DB"/>
    <w:pPr>
      <w:keepNext/>
      <w:jc w:val="center"/>
      <w:outlineLvl w:val="2"/>
    </w:pPr>
    <w:rPr>
      <w:bCs/>
      <w:i/>
      <w:szCs w:val="24"/>
      <w:lang w:eastAsia="cs-CZ"/>
    </w:rPr>
  </w:style>
  <w:style w:type="paragraph" w:styleId="Heading4">
    <w:name w:val="heading 4"/>
    <w:basedOn w:val="Normal"/>
    <w:next w:val="Normal"/>
    <w:link w:val="Heading4Char"/>
    <w:uiPriority w:val="99"/>
    <w:qFormat/>
    <w:rsid w:val="00FF732E"/>
    <w:pPr>
      <w:keepNext/>
      <w:ind w:left="567" w:hanging="567"/>
      <w:outlineLvl w:val="3"/>
    </w:pPr>
    <w:rPr>
      <w:bCs/>
      <w:sz w:val="18"/>
      <w:szCs w:val="24"/>
      <w:lang w:eastAsia="cs-CZ"/>
    </w:rPr>
  </w:style>
  <w:style w:type="paragraph" w:styleId="Heading5">
    <w:name w:val="heading 5"/>
    <w:basedOn w:val="Heading6"/>
    <w:next w:val="Normal"/>
    <w:link w:val="Heading5Char"/>
    <w:uiPriority w:val="9"/>
    <w:unhideWhenUsed/>
    <w:qFormat/>
    <w:rsid w:val="00605A18"/>
    <w:pPr>
      <w:outlineLvl w:val="4"/>
    </w:pPr>
    <w:rPr>
      <w:b/>
    </w:rPr>
  </w:style>
  <w:style w:type="paragraph" w:styleId="Heading6">
    <w:name w:val="heading 6"/>
    <w:basedOn w:val="Normal"/>
    <w:next w:val="Normal"/>
    <w:link w:val="Heading6Char"/>
    <w:uiPriority w:val="9"/>
    <w:unhideWhenUsed/>
    <w:qFormat/>
    <w:rsid w:val="00777DA8"/>
    <w:pPr>
      <w:spacing w:after="60"/>
      <w:jc w:val="center"/>
      <w:outlineLvl w:val="5"/>
    </w:pPr>
    <w:rPr>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qFormat/>
    <w:locked/>
    <w:rsid w:val="00925275"/>
    <w:rPr>
      <w:rFonts w:ascii="Arial" w:hAnsi="Arial" w:cs="Arial"/>
      <w:b/>
      <w:bCs/>
      <w:kern w:val="2"/>
      <w:sz w:val="24"/>
      <w:szCs w:val="32"/>
      <w:lang w:val="en-GB" w:eastAsia="de-DE"/>
    </w:rPr>
  </w:style>
  <w:style w:type="character" w:customStyle="1" w:styleId="Heading2Char">
    <w:name w:val="Heading 2 Char"/>
    <w:link w:val="Heading2"/>
    <w:uiPriority w:val="99"/>
    <w:qFormat/>
    <w:locked/>
    <w:rsid w:val="00925275"/>
    <w:rPr>
      <w:rFonts w:ascii="Arial" w:hAnsi="Arial" w:cs="Arial"/>
      <w:b/>
      <w:bCs/>
      <w:iCs/>
      <w:sz w:val="22"/>
      <w:szCs w:val="28"/>
      <w:lang w:val="en-GB" w:eastAsia="de-DE"/>
    </w:rPr>
  </w:style>
  <w:style w:type="character" w:customStyle="1" w:styleId="Heading3Char">
    <w:name w:val="Heading 3 Char"/>
    <w:link w:val="Heading3"/>
    <w:uiPriority w:val="99"/>
    <w:qFormat/>
    <w:locked/>
    <w:rsid w:val="002E03DB"/>
    <w:rPr>
      <w:bCs/>
      <w:i/>
      <w:sz w:val="22"/>
      <w:szCs w:val="24"/>
      <w:lang w:val="en-GB"/>
    </w:rPr>
  </w:style>
  <w:style w:type="character" w:customStyle="1" w:styleId="Heading4Char">
    <w:name w:val="Heading 4 Char"/>
    <w:link w:val="Heading4"/>
    <w:uiPriority w:val="99"/>
    <w:qFormat/>
    <w:locked/>
    <w:rsid w:val="00FF732E"/>
    <w:rPr>
      <w:bCs/>
      <w:sz w:val="18"/>
      <w:szCs w:val="24"/>
      <w:lang w:val="en-GB"/>
    </w:rPr>
  </w:style>
  <w:style w:type="character" w:customStyle="1" w:styleId="HTMLAddressChar">
    <w:name w:val="HTML Address Char"/>
    <w:link w:val="HTMLAddress"/>
    <w:uiPriority w:val="99"/>
    <w:semiHidden/>
    <w:qFormat/>
    <w:rsid w:val="005E6DCD"/>
    <w:rPr>
      <w:i/>
      <w:iCs/>
      <w:lang w:val="de-DE" w:eastAsia="de-DE"/>
    </w:rPr>
  </w:style>
  <w:style w:type="character" w:customStyle="1" w:styleId="Heading5Char">
    <w:name w:val="Heading 5 Char"/>
    <w:link w:val="Heading5"/>
    <w:uiPriority w:val="9"/>
    <w:qFormat/>
    <w:rsid w:val="00605A18"/>
    <w:rPr>
      <w:b/>
      <w:bCs/>
      <w:szCs w:val="22"/>
      <w:lang w:val="en-GB" w:eastAsia="de-DE"/>
    </w:rPr>
  </w:style>
  <w:style w:type="character" w:customStyle="1" w:styleId="Heading6Char">
    <w:name w:val="Heading 6 Char"/>
    <w:link w:val="Heading6"/>
    <w:uiPriority w:val="9"/>
    <w:qFormat/>
    <w:rsid w:val="00777DA8"/>
    <w:rPr>
      <w:rFonts w:eastAsia="Times New Roman" w:cs="Times New Roman"/>
      <w:bCs/>
      <w:szCs w:val="22"/>
      <w:lang w:val="de-DE" w:eastAsia="de-DE"/>
    </w:rPr>
  </w:style>
  <w:style w:type="character" w:customStyle="1" w:styleId="HeaderChar">
    <w:name w:val="Header Char"/>
    <w:link w:val="Header"/>
    <w:uiPriority w:val="99"/>
    <w:qFormat/>
    <w:rsid w:val="00D13351"/>
    <w:rPr>
      <w:lang w:val="en-GB" w:eastAsia="de-DE"/>
    </w:rPr>
  </w:style>
  <w:style w:type="character" w:customStyle="1" w:styleId="FooterChar">
    <w:name w:val="Footer Char"/>
    <w:link w:val="Footer"/>
    <w:uiPriority w:val="99"/>
    <w:qFormat/>
    <w:rsid w:val="00D13351"/>
    <w:rPr>
      <w:lang w:val="en-GB" w:eastAsia="de-DE"/>
    </w:rPr>
  </w:style>
  <w:style w:type="character" w:customStyle="1" w:styleId="BalloonTextChar">
    <w:name w:val="Balloon Text Char"/>
    <w:link w:val="BalloonText"/>
    <w:uiPriority w:val="99"/>
    <w:semiHidden/>
    <w:qFormat/>
    <w:rsid w:val="00C64DBE"/>
    <w:rPr>
      <w:rFonts w:ascii="Tahoma" w:hAnsi="Tahoma" w:cs="Tahoma"/>
      <w:sz w:val="16"/>
      <w:szCs w:val="16"/>
      <w:lang w:val="en-GB" w:eastAsia="de-DE"/>
    </w:rPr>
  </w:style>
  <w:style w:type="paragraph" w:customStyle="1" w:styleId="Heading">
    <w:name w:val="Heading"/>
    <w:basedOn w:val="Normal"/>
    <w:next w:val="BodyText"/>
    <w:qFormat/>
    <w:pPr>
      <w:keepNext/>
      <w:spacing w:before="24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pPr>
    <w:rPr>
      <w:rFonts w:cs="Noto Sans Devanagari"/>
      <w:i/>
      <w:iCs/>
      <w:sz w:val="24"/>
      <w:szCs w:val="24"/>
    </w:rPr>
  </w:style>
  <w:style w:type="paragraph" w:customStyle="1" w:styleId="Index">
    <w:name w:val="Index"/>
    <w:basedOn w:val="Normal"/>
    <w:qFormat/>
    <w:pPr>
      <w:suppressLineNumbers/>
    </w:pPr>
    <w:rPr>
      <w:rFonts w:cs="Lohit Devanagari"/>
    </w:rPr>
  </w:style>
  <w:style w:type="paragraph" w:customStyle="1" w:styleId="caption1">
    <w:name w:val="caption1"/>
    <w:basedOn w:val="Normal"/>
    <w:qFormat/>
    <w:pPr>
      <w:suppressLineNumbers/>
      <w:spacing w:before="120"/>
    </w:pPr>
    <w:rPr>
      <w:rFonts w:cs="Lohit Devanagari"/>
      <w:i/>
      <w:iCs/>
      <w:sz w:val="24"/>
      <w:szCs w:val="24"/>
    </w:rPr>
  </w:style>
  <w:style w:type="paragraph" w:customStyle="1" w:styleId="Acknowledgement">
    <w:name w:val="Acknowledgement"/>
    <w:basedOn w:val="Normal"/>
    <w:qFormat/>
    <w:rsid w:val="00777DA8"/>
    <w:rPr>
      <w:i/>
    </w:rPr>
  </w:style>
  <w:style w:type="paragraph" w:styleId="HTMLAddress">
    <w:name w:val="HTML Address"/>
    <w:basedOn w:val="Normal"/>
    <w:link w:val="HTMLAddressChar"/>
    <w:uiPriority w:val="99"/>
    <w:semiHidden/>
    <w:unhideWhenUsed/>
    <w:qFormat/>
    <w:rsid w:val="005E6DCD"/>
    <w:rPr>
      <w:i/>
      <w:iCs/>
    </w:rPr>
  </w:style>
  <w:style w:type="paragraph" w:customStyle="1" w:styleId="HeaderandFooter">
    <w:name w:val="Header and Footer"/>
    <w:basedOn w:val="Normal"/>
    <w:qFormat/>
  </w:style>
  <w:style w:type="paragraph" w:styleId="Header">
    <w:name w:val="header"/>
    <w:basedOn w:val="Normal"/>
    <w:link w:val="HeaderChar"/>
    <w:uiPriority w:val="99"/>
    <w:unhideWhenUsed/>
    <w:rsid w:val="00D13351"/>
    <w:pPr>
      <w:tabs>
        <w:tab w:val="center" w:pos="4536"/>
        <w:tab w:val="right" w:pos="9072"/>
      </w:tabs>
    </w:pPr>
  </w:style>
  <w:style w:type="paragraph" w:styleId="Footer">
    <w:name w:val="footer"/>
    <w:basedOn w:val="Normal"/>
    <w:link w:val="FooterChar"/>
    <w:uiPriority w:val="99"/>
    <w:unhideWhenUsed/>
    <w:rsid w:val="00D13351"/>
    <w:pPr>
      <w:tabs>
        <w:tab w:val="center" w:pos="4536"/>
        <w:tab w:val="right" w:pos="9072"/>
      </w:tabs>
    </w:pPr>
  </w:style>
  <w:style w:type="paragraph" w:styleId="BalloonText">
    <w:name w:val="Balloon Text"/>
    <w:basedOn w:val="Normal"/>
    <w:link w:val="BalloonTextChar"/>
    <w:uiPriority w:val="99"/>
    <w:semiHidden/>
    <w:unhideWhenUsed/>
    <w:qFormat/>
    <w:rsid w:val="00C64DBE"/>
    <w:pPr>
      <w:spacing w:after="0"/>
    </w:pPr>
    <w:rPr>
      <w:rFonts w:ascii="Tahoma" w:hAnsi="Tahoma" w:cs="Tahoma"/>
      <w:sz w:val="16"/>
      <w:szCs w:val="16"/>
    </w:rPr>
  </w:style>
  <w:style w:type="table" w:styleId="TableGrid">
    <w:name w:val="Table Grid"/>
    <w:basedOn w:val="TableNormal"/>
    <w:uiPriority w:val="99"/>
    <w:rsid w:val="00C263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theme/theme1.xml><?xml version="1.0" encoding="utf-8"?>
<a:theme xmlns:a="http://schemas.openxmlformats.org/drawingml/2006/main" name="Motiv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21E0AE-6DDE-4FDB-AD25-D0DA1D2E6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1</Pages>
  <Words>335</Words>
  <Characters>1910</Characters>
  <Application>Microsoft Office Word</Application>
  <DocSecurity>0</DocSecurity>
  <Lines>15</Lines>
  <Paragraphs>4</Paragraphs>
  <ScaleCrop>false</ScaleCrop>
  <Company>MFF UK</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Materials Structure</dc:title>
  <dc:subject/>
  <dc:creator>Uživatel systému Windows</dc:creator>
  <dc:description/>
  <cp:lastModifiedBy>Ezhik</cp:lastModifiedBy>
  <cp:revision>24</cp:revision>
  <dcterms:created xsi:type="dcterms:W3CDTF">2024-01-11T13:40:00Z</dcterms:created>
  <dcterms:modified xsi:type="dcterms:W3CDTF">2025-08-17T12:58:00Z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